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Основные новеллы в Методических рекомендациях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2019 год)</w:t>
      </w:r>
    </w:p>
    <w:p>
      <w:pPr>
        <w:spacing w:after="0" w:line="240" w:lineRule="auto"/>
        <w:ind w:firstLine="709"/>
        <w:jc w:val="center"/>
        <w:rPr>
          <w:rFonts w:ascii="Times New Roman" w:hAnsi="Times New Roman" w:cs="Times New Roman"/>
          <w:b/>
          <w:sz w:val="28"/>
          <w:szCs w:val="28"/>
        </w:rPr>
      </w:pP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течение последних лет является устоявшейся практика подготовки Министерством труда и социальной защиты Российской Федерации ежегодно обновляемых 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(далее – Методические рекомендации), направления их в заинтересованные государственные органы и организации, а также размещения на официальном сайте Минтруда России.</w:t>
      </w: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для применения в ходе декларационной кампании 2020 года (за отчетный 2019 год) подготовлены Министерством при участии Администрации Президента Российской Федерации, Центрального банка Российской Федерации, Генеральной прокуратуры Российской Федерации и иных заинтересованных федеральных государственных органов.</w:t>
      </w: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использования в работе указанных Методических рекомендаций предлагаем обратить внимание на следующее.</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преамбуле Методических рекомендаций акцентировано внимание читателей на то, что консультативную и методическую помощь государственным и муниципальным служащим (далее – служащие), а также работникам отдельных категорий организаций (далее – работники) оказывает подразделение по профилактике коррупционных и иных правонарушений (должностное лицо, ответственное за работу по профилактике коррупционных и иных правонарушений) (далее – подразделение).</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Исключены положения о необходимости представления сведений о доходах, расходах, об имуществе и обязательствах имущественного характера (далее – сведения) в подразделение, в котором лицо замещало должность на отчетную дату, в случае перевода в период декларационной кампании, а также положения о представлении сведений в случае увольнения в период декларационной кампании.</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пункте 34 Методических рекомендаций отмечено, что сведения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процитированы положения из Инструкции о порядке заполнения справки о доходах, расходах, об имуществе и обязательствах имущественного характера (далее – справка) с использованием специального программного обеспечения "Справки БК".</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Дополнительно уточнено, что выплаты денежных сумм, осуществленные на основании договоров страхования, подлежат отражению </w:t>
      </w:r>
      <w:r>
        <w:rPr>
          <w:rFonts w:ascii="Times New Roman" w:hAnsi="Times New Roman" w:cs="Times New Roman"/>
          <w:sz w:val="28"/>
          <w:szCs w:val="28"/>
        </w:rPr>
        <w:lastRenderedPageBreak/>
        <w:t>в разделе 1 справки. При этом в отношении договоров страхования, поименованных в подпункте 3 пункта</w:t>
      </w:r>
      <w:r>
        <w:t xml:space="preserve"> </w:t>
      </w:r>
      <w:r>
        <w:rPr>
          <w:rFonts w:ascii="Times New Roman" w:hAnsi="Times New Roman" w:cs="Times New Roman"/>
          <w:sz w:val="28"/>
          <w:szCs w:val="28"/>
        </w:rPr>
        <w:t>158 Методических рекомендаций, доходом является положительный результат (разница между уплаченными страховыми премиями (взносами) и выплаченными в результате прекращения таких договоров страхования денежными суммами (в отношении каждого договора отдельно)).</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Методических рекомендациях отмечено, что 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раздел 2 справки заполняется в справках обоих лиц (аналогично в отношении несовершеннолетних детей). При этом в графе "Сумма сделки" применимых справок рекомендуется указывать полную стоимость.</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Одновременно в Методических рекомендациях предусмотрены положения, касающиеся граждан, зарегистрированных в качестве индивидуальных предпринимателей.</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Отмечено, что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(в том числе в подразделе 6.1 раздела 6 справки).</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положением, согласно которому, 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Так, в частности, регистрация транспортных средств носит учетный характер и не служит основанием для возникновения (прекращения) на них права собственности.</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Отмечено, что в графе "Место регистрации" подраздела 3.2 раздела 3 справки допускается указание кода подразделения ГИБДД в соответствии со свидетельством о регистрации транспортного средства.</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разделе 4 справки необходимо отражать информацию о номинальных счетах и счетах эскроу, а также о счетах, открытых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части графы "Основание участия" подраздела 5.1 раздела 5 справки предусмотрено, что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Одновременно для графы "Номинальная величина обязательства" подраздела 5.2 раздела 5 справки предусмотрено, что отражается информация о цене, которая определена эмитентом при выпуске ценной бумаги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данная графа не заполняется).</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указано, что информация о наличии банковских счетов может быть получена лицом, в отношении которого представляется справка, у ФНС России.</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Уточнены условия, при которых не требуется в подразделе 6.1 раздела 6 справки одного из супругов указывать все объекты недвижимости, находящиеся в собственности другого супруга (отсутствует фактическое пользование этим объектом супругом и эти объекты указаны в подразделе 3.1 справки одного из супругов (аналогично в отношении несовершеннолетних детей)).</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конкретизированы положения о размере обязательства для целей заполнения подраздела 6.2 раздела 6 справки: указывается оставшийся непогашенным долг с суммой процентов, начисленных по состоянию на отчетную дату, а не до конца периода кредитования.</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примерами срочных обязательств финансового характера, которые подлежат отражению при наличии обстоятельств (выкупленная дебиторская задолженность финансовые обязательства, участником которой в силу Федерального закона от 23 декабря 20</w:t>
      </w:r>
      <w:bookmarkStart w:id="0" w:name="_GoBack"/>
      <w:bookmarkEnd w:id="0"/>
      <w:r>
        <w:rPr>
          <w:rFonts w:ascii="Times New Roman" w:hAnsi="Times New Roman" w:cs="Times New Roman"/>
          <w:sz w:val="28"/>
          <w:szCs w:val="28"/>
        </w:rPr>
        <w:t>03 г. № 177-ФЗ "О страховании вкладов в банках Российской Федерации" является государственная корпорация "Агентство по страхованию вкладов") и не подлежат отражению (договор срочного банковского вклада).</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отношении подраздела 6.2 раздела 6 справки подробно раскрыт порядок отражения обязательств, возникающих в соответствии с Законом Российской Федерации от 27 ноября 1992 года № 4015-1 "Об организации страхового дела в Российской Федерации".</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указано, что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 При этом уничтоженные объекты имущества не подлежат отражению в данном разделе справки. Договор мены не подлежит отражению в данном разделе справки, так как он является возмездным.</w:t>
      </w:r>
    </w:p>
    <w:p>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Положения Методических рекомендаций актуализированы с учетом изменений нормативных правовых актов Российской Федерации.</w:t>
      </w:r>
    </w:p>
    <w:p/>
    <w:sectPr>
      <w:headerReference w:type="default" r:id="rId5"/>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918099"/>
      <w:docPartObj>
        <w:docPartGallery w:val="Page Numbers (Top of Page)"/>
        <w:docPartUnique/>
      </w:docPartObj>
    </w:sdtPr>
    <w:sdtEndPr>
      <w:rPr>
        <w:rFonts w:ascii="Times New Roman" w:hAnsi="Times New Roman" w:cs="Times New Roman"/>
        <w:sz w:val="28"/>
      </w:rPr>
    </w:sdtEndPr>
    <w:sdtContent>
      <w:p>
        <w:pPr>
          <w:pStyle w:val="a4"/>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PAGE   \* MERGEFORMAT</w:instrText>
        </w:r>
        <w:r>
          <w:rPr>
            <w:rFonts w:ascii="Times New Roman" w:hAnsi="Times New Roman" w:cs="Times New Roman"/>
            <w:sz w:val="28"/>
          </w:rPr>
          <w:fldChar w:fldCharType="separate"/>
        </w:r>
        <w:r>
          <w:rPr>
            <w:rFonts w:ascii="Times New Roman" w:hAnsi="Times New Roman" w:cs="Times New Roman"/>
            <w:noProof/>
            <w:sz w:val="28"/>
          </w:rPr>
          <w:t>2</w:t>
        </w:r>
        <w:r>
          <w:rPr>
            <w:rFonts w:ascii="Times New Roman" w:hAnsi="Times New Roman" w:cs="Times New Roman"/>
            <w:sz w:val="28"/>
          </w:rPr>
          <w:fldChar w:fldCharType="end"/>
        </w:r>
      </w:p>
    </w:sdtContent>
  </w:sdt>
  <w:p>
    <w:pPr>
      <w:pStyle w:val="a4"/>
      <w:rPr>
        <w:rFonts w:ascii="Times New Roman" w:hAnsi="Times New Roman" w:cs="Times New Roman"/>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81085"/>
    <w:multiLevelType w:val="hybridMultilevel"/>
    <w:tmpl w:val="8C4CEC4A"/>
    <w:lvl w:ilvl="0" w:tplc="862851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1177</Words>
  <Characters>6710</Characters>
  <Application>Microsoft Office Word</Application>
  <DocSecurity>0</DocSecurity>
  <Lines>55</Lines>
  <Paragraphs>15</Paragraphs>
  <ScaleCrop>false</ScaleCrop>
  <Company>KSP</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Александровна Огарь</dc:creator>
  <cp:keywords/>
  <dc:description/>
  <cp:lastModifiedBy>Татьяна Александровна Огарь</cp:lastModifiedBy>
  <cp:revision>2</cp:revision>
  <dcterms:created xsi:type="dcterms:W3CDTF">2020-01-13T08:26:00Z</dcterms:created>
  <dcterms:modified xsi:type="dcterms:W3CDTF">2020-01-13T08:27:00Z</dcterms:modified>
</cp:coreProperties>
</file>