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autoSpaceDE w:val="0"/>
        <w:autoSpaceDN w:val="0"/>
        <w:spacing w:line="240" w:lineRule="auto"/>
        <w:jc w:val="center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Информация о результатах контрольного мероприятия</w:t>
      </w:r>
    </w:p>
    <w:p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«Проверка целевого и эффективного использования средств  областного бюджета, выделенных на обеспечение деятельности казенного учреждения Омской области «Омскоблстройзаказчик»  в 2014 году и январе-августе 2015 года»</w:t>
      </w:r>
    </w:p>
    <w:p>
      <w:pPr>
        <w:spacing w:before="120"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1. Основания для проведения контрольного мероприятия: </w:t>
      </w:r>
      <w:r>
        <w:rPr>
          <w:spacing w:val="-6"/>
          <w:sz w:val="28"/>
          <w:szCs w:val="28"/>
        </w:rPr>
        <w:t xml:space="preserve">пункт 1.17. Плана работы Контрольно-счетной палаты Омской области (далее – КСП Омской области) на 2015 год, </w:t>
      </w:r>
      <w:r>
        <w:rPr>
          <w:sz w:val="28"/>
          <w:szCs w:val="28"/>
        </w:rPr>
        <w:t>распоряжение председателя КСП Омской области от 31.08.2015 № 102</w:t>
      </w:r>
      <w:r>
        <w:rPr>
          <w:spacing w:val="-6"/>
          <w:sz w:val="28"/>
          <w:szCs w:val="28"/>
        </w:rPr>
        <w:t xml:space="preserve">. </w:t>
      </w:r>
    </w:p>
    <w:p>
      <w:pPr>
        <w:numPr>
          <w:ilvl w:val="0"/>
          <w:numId w:val="20"/>
        </w:numPr>
        <w:tabs>
          <w:tab w:val="left" w:pos="709"/>
          <w:tab w:val="left" w:pos="1134"/>
        </w:tabs>
        <w:spacing w:line="240" w:lineRule="auto"/>
        <w:ind w:left="0" w:firstLine="709"/>
        <w:rPr>
          <w:bCs/>
          <w:color w:val="000000"/>
        </w:rPr>
      </w:pPr>
      <w:r>
        <w:rPr>
          <w:b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Объект </w:t>
      </w:r>
      <w:r>
        <w:rPr>
          <w:b/>
          <w:sz w:val="28"/>
          <w:szCs w:val="28"/>
        </w:rPr>
        <w:t>контрольного мероприятия</w:t>
      </w:r>
      <w:r>
        <w:rPr>
          <w:b/>
          <w:bCs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казенное учреждение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Омской области «Омскоблстройзаказчик» (далее – Учреждение).</w:t>
      </w:r>
      <w:r>
        <w:rPr>
          <w:sz w:val="28"/>
          <w:szCs w:val="28"/>
        </w:rPr>
        <w:t xml:space="preserve"> </w:t>
      </w:r>
    </w:p>
    <w:p>
      <w:pPr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3. Проверяемый период:</w:t>
      </w:r>
      <w:r>
        <w:rPr>
          <w:sz w:val="28"/>
          <w:szCs w:val="28"/>
        </w:rPr>
        <w:t xml:space="preserve"> с 1 января 2014 года по 31 августа 2015 года.</w:t>
      </w:r>
    </w:p>
    <w:p>
      <w:pPr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4. Сроки проведения контрольного мероприятия</w:t>
      </w:r>
      <w:r>
        <w:rPr>
          <w:b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с 1 сентября по 14 октября 2015 года.</w:t>
      </w:r>
    </w:p>
    <w:p>
      <w:pPr>
        <w:spacing w:line="24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5. Нарушения и недостатки, выявленные контрольным мероприятием.</w:t>
      </w:r>
    </w:p>
    <w:p>
      <w:pPr>
        <w:spacing w:line="240" w:lineRule="auto"/>
        <w:ind w:right="28" w:firstLine="709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Проведенным анализом расходов на оплату труда работников Учреждения установлено, что о</w:t>
      </w:r>
      <w:r>
        <w:rPr>
          <w:sz w:val="28"/>
          <w:szCs w:val="28"/>
        </w:rPr>
        <w:t>сновную долю в структуре заработной платы составляют стимулирующие выплаты (более  43  %)</w:t>
      </w:r>
      <w:r>
        <w:rPr>
          <w:bCs/>
          <w:sz w:val="28"/>
          <w:szCs w:val="28"/>
        </w:rPr>
        <w:t xml:space="preserve">, производимые </w:t>
      </w:r>
      <w:r>
        <w:rPr>
          <w:sz w:val="28"/>
          <w:szCs w:val="28"/>
        </w:rPr>
        <w:t>без учета критериев оценки эффективности деятельности работников, что не соответствует условиям, установленным приказом Минстроя от 30.12.2013 № 98-п «Об отраслевой системе оплаты труда работников государственных учреждений Омской области, находящихся в ведении Министерства строительства и жилищно-коммунального комплекса Омской области», а</w:t>
      </w:r>
      <w:proofErr w:type="gramEnd"/>
      <w:r>
        <w:rPr>
          <w:sz w:val="28"/>
          <w:szCs w:val="28"/>
        </w:rPr>
        <w:t xml:space="preserve"> также «Положением об оплате труда, о порядке выплаты материальной помощи, о премировании работников казенного учреждения Омской области «Омскоблстройзаказчик», утвержденным приказом от 28.06.2013</w:t>
      </w:r>
      <w:r>
        <w:rPr>
          <w:sz w:val="28"/>
          <w:szCs w:val="28"/>
        </w:rPr>
        <w:br/>
        <w:t xml:space="preserve">№ 27. </w:t>
      </w:r>
      <w:proofErr w:type="gramStart"/>
      <w:r>
        <w:rPr>
          <w:sz w:val="28"/>
          <w:szCs w:val="28"/>
        </w:rPr>
        <w:t xml:space="preserve">Кроме того, </w:t>
      </w:r>
      <w:r>
        <w:rPr>
          <w:bCs/>
          <w:sz w:val="28"/>
          <w:szCs w:val="28"/>
        </w:rPr>
        <w:t>материальная помощь, выплачиваемая в размере двух должностных окладов, в Учреждении носит регулярный характер, непосредственно связана с выполнением трудовых функций и входит в установленную систему оплаты труда, что не предусмотрено постановлением Правительства Омской области от 15.10.2008 № 172-п «Об отраслевых системах оплаты труда работников бюджетных, автономных и казенных учреждений в Омской области».</w:t>
      </w:r>
      <w:proofErr w:type="gramEnd"/>
    </w:p>
    <w:p>
      <w:pPr>
        <w:autoSpaceDE w:val="0"/>
        <w:autoSpaceDN w:val="0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Проверкой обоснованности расчета компенсации при досрочном увольнении сотрудников Учреждения установлено, что в результате нарушения «Положения об особенностях порядка исчисления средней заработной платы», утвержденного постановлением Правительства Российской Федерации от 24.12.2007 № 922, в проверяемом периоде излишне начислена и выплачена компенсация при досрочном увольнении  в размере 90,0 тыс. рублей.</w:t>
      </w:r>
    </w:p>
    <w:p>
      <w:pPr>
        <w:spacing w:line="240" w:lineRule="auto"/>
        <w:ind w:right="28"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Учреждением неоднократно допущены случаи неправомерного перечисления денежных средств за выполнение строительных работ при отсутствии </w:t>
      </w:r>
      <w:r>
        <w:rPr>
          <w:rFonts w:eastAsiaTheme="minorHAnsi"/>
          <w:sz w:val="28"/>
          <w:szCs w:val="28"/>
        </w:rPr>
        <w:t>актов</w:t>
      </w:r>
      <w:r>
        <w:rPr>
          <w:sz w:val="28"/>
          <w:szCs w:val="28"/>
        </w:rPr>
        <w:t xml:space="preserve"> о приемке выполненных работ формы КС-2, являющихся подтверждающими документами, необходимыми для осуществления расчетов. Общая сумма расходов, произведенных Учреждением без оправдательных документов, в проверяемом периоде составила 53 096,4 тыс. рублей.  </w:t>
      </w:r>
    </w:p>
    <w:p>
      <w:pPr>
        <w:spacing w:line="24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Ненадлежащее исполнение Учреждением полномочий получателя бюджетных средств, установленных статьей 162 Бюджетного кодекса РФ, привело к оплате невыполненных работ по </w:t>
      </w:r>
      <w:r>
        <w:rPr>
          <w:bCs/>
          <w:color w:val="000000"/>
          <w:sz w:val="28"/>
          <w:szCs w:val="28"/>
        </w:rPr>
        <w:t>реконструкции объектов бюджетного учреждения здравоохранения Омской области «Городская детская клиническая больница</w:t>
      </w:r>
      <w:r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lastRenderedPageBreak/>
        <w:t>№ 3»</w:t>
      </w:r>
      <w:r>
        <w:rPr>
          <w:sz w:val="28"/>
          <w:szCs w:val="28"/>
        </w:rPr>
        <w:t xml:space="preserve"> в сумме 1 197,0 тыс. рублей</w:t>
      </w:r>
      <w:r>
        <w:rPr>
          <w:bCs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педиатрического корпуса -</w:t>
      </w:r>
      <w:r>
        <w:rPr>
          <w:sz w:val="28"/>
          <w:szCs w:val="28"/>
        </w:rPr>
        <w:t xml:space="preserve"> 1 176,9 тыс. рублей, хирургического стационара – 20,1 тыс. рублей), а также к завышению стоимости выполненных работ на 433,7 тыс. рублей.</w:t>
      </w:r>
      <w:proofErr w:type="gramEnd"/>
    </w:p>
    <w:p>
      <w:pPr>
        <w:autoSpaceDE w:val="0"/>
        <w:autoSpaceDN w:val="0"/>
        <w:spacing w:line="240" w:lineRule="auto"/>
        <w:ind w:firstLine="709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Проверкой </w:t>
      </w:r>
      <w:r>
        <w:rPr>
          <w:bCs/>
          <w:iCs/>
          <w:sz w:val="28"/>
          <w:szCs w:val="28"/>
        </w:rPr>
        <w:t xml:space="preserve">целевого и эффективного использования средств областного бюджета, направленных Учреждением на реализацию мероприятий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установлено, что начальная максимальная цена контрактов на приобретение жилых помещений </w:t>
      </w:r>
      <w:r>
        <w:rPr>
          <w:sz w:val="28"/>
          <w:szCs w:val="28"/>
        </w:rPr>
        <w:t>определялась Учреждением расчетным путем в соответствии с пунктом 5 Порядка предоставления жилых помещений детям-сиротам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и договорам социального найма жилых помещений жилищного фонда Омской области, утвержденного постановлением Правительства Омской области от 19.12.2012 № 284-п, действующим только для приобретающего готовые жилые помещения по договорам купли-продажи Министерства имущественных отношений Омской области. </w:t>
      </w:r>
      <w:proofErr w:type="gramEnd"/>
    </w:p>
    <w:p>
      <w:p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 результате в нарушение статьи 22 Федерального закона от 05.04.2013</w:t>
      </w:r>
      <w:r>
        <w:rPr>
          <w:sz w:val="28"/>
          <w:szCs w:val="28"/>
        </w:rPr>
        <w:br/>
        <w:t>№ 44-ФЗ «О контрактной системе в сфере закупок товаров, работ, услуг для обеспечения государственных и муниципальных нужд» Учреждением при определении и обосновании</w:t>
      </w:r>
      <w:r>
        <w:rPr>
          <w:bCs/>
          <w:iCs/>
          <w:sz w:val="28"/>
          <w:szCs w:val="28"/>
        </w:rPr>
        <w:t xml:space="preserve"> начальной максимальной цены контрактов</w:t>
      </w:r>
      <w:r>
        <w:rPr>
          <w:sz w:val="28"/>
          <w:szCs w:val="28"/>
        </w:rPr>
        <w:t xml:space="preserve"> неправомерно применялся тарифный метод вместо метода сопоставимых рыночных цен (анализа рынка). </w:t>
      </w:r>
    </w:p>
    <w:p>
      <w:pPr>
        <w:autoSpaceDE w:val="0"/>
        <w:autoSpaceDN w:val="0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Анализом данных официального сайта Российской Федерации для размещения информации о закупках (</w:t>
      </w:r>
      <w:proofErr w:type="spellStart"/>
      <w:r>
        <w:rPr>
          <w:sz w:val="28"/>
          <w:szCs w:val="28"/>
          <w:lang w:val="en-US"/>
        </w:rPr>
        <w:t>zakupki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) установлено, что многоквартирные жилые дома, расположенные по адресам: г. Омск, ул. 21-я Амурская, д. 51, 61, построенные ООО СМУ-1 </w:t>
      </w:r>
      <w:proofErr w:type="gramStart"/>
      <w:r>
        <w:rPr>
          <w:sz w:val="28"/>
          <w:szCs w:val="28"/>
        </w:rPr>
        <w:t>СБ</w:t>
      </w:r>
      <w:proofErr w:type="gramEnd"/>
      <w:r>
        <w:rPr>
          <w:sz w:val="28"/>
          <w:szCs w:val="28"/>
        </w:rPr>
        <w:t xml:space="preserve"> «Амурское» по цене 39,5 тыс. рублей за 1 кв.м. жилых помещений, для исполнения государственных контрактов, заключенных с Учреждением в целях обеспечения детей-сирот жилыми помещениями, аналогичны многоквартирным жилым домам, расположенным по адресам: г. Омск, ул. 21-я Амурская, д. 47, 49, 59, 69, построенным ООО СМУ-1 </w:t>
      </w:r>
      <w:proofErr w:type="gramStart"/>
      <w:r>
        <w:rPr>
          <w:sz w:val="28"/>
          <w:szCs w:val="28"/>
        </w:rPr>
        <w:t>СБ</w:t>
      </w:r>
      <w:proofErr w:type="gramEnd"/>
      <w:r>
        <w:rPr>
          <w:sz w:val="28"/>
          <w:szCs w:val="28"/>
        </w:rPr>
        <w:t xml:space="preserve"> «Амурское» в 2014 году в целях переселения граждан из ветхого и аварийного жилья. При этом стоимость 1 кв.м. жилых помещений, реализованных ООО СМУ-1 </w:t>
      </w:r>
      <w:proofErr w:type="gramStart"/>
      <w:r>
        <w:rPr>
          <w:sz w:val="28"/>
          <w:szCs w:val="28"/>
        </w:rPr>
        <w:t>СБ</w:t>
      </w:r>
      <w:proofErr w:type="gramEnd"/>
      <w:r>
        <w:rPr>
          <w:sz w:val="28"/>
          <w:szCs w:val="28"/>
        </w:rPr>
        <w:t xml:space="preserve"> «Амурское» в аналогичном периоде для переселения граждан из ветхого и аварийного жилья составила 33,0 тыс. рублей. Таким образом, при формировании начальной максимальной цены контрактов на приобретение в городе Омске жилых помещении методом сопоставимых рыночных цен экономия средств в 2014 году могла составить 14 190,0 тыс. рублей.</w:t>
      </w:r>
    </w:p>
    <w:p>
      <w:pPr>
        <w:autoSpaceDE w:val="0"/>
        <w:autoSpaceDN w:val="0"/>
        <w:spacing w:line="240" w:lineRule="auto"/>
        <w:ind w:firstLine="708"/>
        <w:outlineLvl w:val="0"/>
        <w:rPr>
          <w:sz w:val="28"/>
          <w:szCs w:val="28"/>
        </w:rPr>
      </w:pPr>
      <w:r>
        <w:rPr>
          <w:sz w:val="28"/>
          <w:szCs w:val="28"/>
        </w:rPr>
        <w:t>Отчет по результатам контрольного мероприятия рассмотрен и утвержден на заседании коллегии Контрольно-счетной палаты Омской области 18 ноября 2015 года.</w:t>
      </w:r>
    </w:p>
    <w:p>
      <w:pPr>
        <w:spacing w:line="24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6. По результатам контрольного мероприятия:</w:t>
      </w:r>
    </w:p>
    <w:p>
      <w:pPr>
        <w:numPr>
          <w:ilvl w:val="0"/>
          <w:numId w:val="46"/>
        </w:numPr>
        <w:tabs>
          <w:tab w:val="left" w:pos="1134"/>
        </w:tabs>
        <w:adjustRightInd/>
        <w:spacing w:line="240" w:lineRule="auto"/>
        <w:ind w:left="0" w:firstLine="709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направлено представление объекту проверки о необходимости принятия мер по устранению нарушений, отмеченных в акте проверки;</w:t>
      </w:r>
    </w:p>
    <w:p>
      <w:pPr>
        <w:numPr>
          <w:ilvl w:val="0"/>
          <w:numId w:val="46"/>
        </w:numPr>
        <w:tabs>
          <w:tab w:val="left" w:pos="1134"/>
        </w:tabs>
        <w:adjustRightInd/>
        <w:spacing w:line="240" w:lineRule="auto"/>
        <w:ind w:left="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копия отчета </w:t>
      </w:r>
      <w:r>
        <w:rPr>
          <w:snapToGrid w:val="0"/>
          <w:sz w:val="28"/>
          <w:szCs w:val="28"/>
        </w:rPr>
        <w:t xml:space="preserve">о результатах контрольного мероприятия направлена в </w:t>
      </w:r>
      <w:r>
        <w:rPr>
          <w:sz w:val="28"/>
          <w:szCs w:val="28"/>
        </w:rPr>
        <w:t xml:space="preserve">комитет Законодательного Собрания Омской области по экономической политике и </w:t>
      </w:r>
      <w:r>
        <w:rPr>
          <w:sz w:val="28"/>
          <w:szCs w:val="28"/>
        </w:rPr>
        <w:lastRenderedPageBreak/>
        <w:t>инвестициям;</w:t>
      </w:r>
    </w:p>
    <w:p>
      <w:pPr>
        <w:pStyle w:val="a3"/>
        <w:widowControl/>
        <w:numPr>
          <w:ilvl w:val="0"/>
          <w:numId w:val="46"/>
        </w:numPr>
        <w:tabs>
          <w:tab w:val="left" w:pos="1134"/>
        </w:tabs>
        <w:adjustRightInd/>
        <w:spacing w:line="240" w:lineRule="auto"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информация о результатах проверки направлена в адрес Губернатора Омской области, Министерства финансов Омской области и </w:t>
      </w:r>
      <w:r>
        <w:rPr>
          <w:rFonts w:ascii="Times New Roman" w:hAnsi="Times New Roman"/>
          <w:sz w:val="28"/>
          <w:szCs w:val="28"/>
        </w:rPr>
        <w:t>Министерства строительства и жилищно-коммунального комплекса Омской области</w:t>
      </w:r>
      <w:r>
        <w:rPr>
          <w:rFonts w:ascii="Times New Roman" w:hAnsi="Times New Roman"/>
          <w:bCs/>
          <w:sz w:val="28"/>
          <w:szCs w:val="28"/>
        </w:rPr>
        <w:t>;</w:t>
      </w:r>
    </w:p>
    <w:p>
      <w:pPr>
        <w:pStyle w:val="af4"/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проверки направлены в прокуратуру Омской области. </w:t>
      </w:r>
    </w:p>
    <w:p>
      <w:pPr>
        <w:pStyle w:val="af4"/>
        <w:tabs>
          <w:tab w:val="left" w:pos="-1701"/>
        </w:tabs>
        <w:spacing w:after="0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>7. Принятые решения и меры по устранению выявленных нарушений:</w:t>
      </w:r>
    </w:p>
    <w:p>
      <w:pPr>
        <w:pStyle w:val="af4"/>
        <w:numPr>
          <w:ilvl w:val="0"/>
          <w:numId w:val="4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объектом контроля представлена информация об устранении выявленных нарушений и недостатков;</w:t>
      </w:r>
    </w:p>
    <w:p>
      <w:pPr>
        <w:pStyle w:val="af4"/>
        <w:numPr>
          <w:ilvl w:val="0"/>
          <w:numId w:val="45"/>
        </w:numPr>
        <w:tabs>
          <w:tab w:val="left" w:pos="60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решением комитета Законодательного Собрания Омской области по </w:t>
      </w:r>
      <w:r>
        <w:rPr>
          <w:rFonts w:ascii="Times New Roman" w:hAnsi="Times New Roman"/>
          <w:sz w:val="28"/>
          <w:szCs w:val="28"/>
        </w:rPr>
        <w:t>экономической политике и инвестициям</w:t>
      </w:r>
      <w:r>
        <w:rPr>
          <w:rFonts w:ascii="Times New Roman" w:hAnsi="Times New Roman"/>
          <w:spacing w:val="-6"/>
          <w:sz w:val="28"/>
          <w:szCs w:val="28"/>
        </w:rPr>
        <w:t xml:space="preserve"> отчет КСП Омской области принят к сведению;</w:t>
      </w:r>
    </w:p>
    <w:p>
      <w:pPr>
        <w:pStyle w:val="af4"/>
        <w:numPr>
          <w:ilvl w:val="0"/>
          <w:numId w:val="45"/>
        </w:numPr>
        <w:tabs>
          <w:tab w:val="left" w:pos="60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Министерством строительства и жилищно-коммунального комплекса Омской области </w:t>
      </w:r>
      <w:r>
        <w:rPr>
          <w:rFonts w:ascii="Times New Roman" w:hAnsi="Times New Roman"/>
          <w:spacing w:val="-6"/>
          <w:sz w:val="28"/>
          <w:szCs w:val="28"/>
        </w:rPr>
        <w:t>представлена информация о принятых мерах по устранению нарушений, выявленных в ходе контрольного мероприятия;</w:t>
      </w:r>
    </w:p>
    <w:p>
      <w:pPr>
        <w:pStyle w:val="af4"/>
        <w:numPr>
          <w:ilvl w:val="0"/>
          <w:numId w:val="45"/>
        </w:numPr>
        <w:tabs>
          <w:tab w:val="left" w:pos="600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прокуратурой Омской области в отношении Учреждения проводится проверка;</w:t>
      </w:r>
    </w:p>
    <w:p>
      <w:pPr>
        <w:pStyle w:val="af4"/>
        <w:numPr>
          <w:ilvl w:val="0"/>
          <w:numId w:val="45"/>
        </w:numPr>
        <w:tabs>
          <w:tab w:val="left" w:pos="993"/>
        </w:tabs>
        <w:spacing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приказом Учреждения от 05.11.2015 № 149-л «О применении дисциплинарного взыскания» 8 должностных лиц </w:t>
      </w:r>
      <w:r>
        <w:rPr>
          <w:rFonts w:ascii="Times New Roman" w:hAnsi="Times New Roman"/>
          <w:sz w:val="28"/>
          <w:szCs w:val="28"/>
        </w:rPr>
        <w:t>привлечены к дисциплинарной ответственности.</w:t>
      </w:r>
    </w:p>
    <w:p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Аудитор Контрольно-счетной палаты</w:t>
      </w:r>
    </w:p>
    <w:p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Омской области                                                                                     Н.А. Новосильцева</w:t>
      </w:r>
    </w:p>
    <w:sectPr>
      <w:headerReference w:type="even" r:id="rId8"/>
      <w:headerReference w:type="default" r:id="rId9"/>
      <w:pgSz w:w="11906" w:h="16838"/>
      <w:pgMar w:top="1077" w:right="567" w:bottom="1021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C4EAF00"/>
    <w:lvl w:ilvl="0">
      <w:numFmt w:val="decimal"/>
      <w:lvlText w:val="*"/>
      <w:lvlJc w:val="left"/>
    </w:lvl>
  </w:abstractNum>
  <w:abstractNum w:abstractNumId="1">
    <w:nsid w:val="07516C01"/>
    <w:multiLevelType w:val="hybridMultilevel"/>
    <w:tmpl w:val="0DB6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84C02"/>
    <w:multiLevelType w:val="hybridMultilevel"/>
    <w:tmpl w:val="799A8A52"/>
    <w:lvl w:ilvl="0" w:tplc="62DABF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E77B50"/>
    <w:multiLevelType w:val="hybridMultilevel"/>
    <w:tmpl w:val="F8A22B0A"/>
    <w:lvl w:ilvl="0" w:tplc="CB669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517351"/>
    <w:multiLevelType w:val="hybridMultilevel"/>
    <w:tmpl w:val="78A0FAC6"/>
    <w:lvl w:ilvl="0" w:tplc="CFD0D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5A2D71"/>
    <w:multiLevelType w:val="hybridMultilevel"/>
    <w:tmpl w:val="F476DAD6"/>
    <w:lvl w:ilvl="0" w:tplc="287A3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17652"/>
    <w:multiLevelType w:val="hybridMultilevel"/>
    <w:tmpl w:val="F580B1C0"/>
    <w:lvl w:ilvl="0" w:tplc="9620B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1B2798"/>
    <w:multiLevelType w:val="hybridMultilevel"/>
    <w:tmpl w:val="AD52D65A"/>
    <w:lvl w:ilvl="0" w:tplc="A044E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0947C5"/>
    <w:multiLevelType w:val="hybridMultilevel"/>
    <w:tmpl w:val="B55AB0CE"/>
    <w:lvl w:ilvl="0" w:tplc="F4C02D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A042D7"/>
    <w:multiLevelType w:val="hybridMultilevel"/>
    <w:tmpl w:val="91EC70E8"/>
    <w:lvl w:ilvl="0" w:tplc="C4AA3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12A127E"/>
    <w:multiLevelType w:val="hybridMultilevel"/>
    <w:tmpl w:val="2870AA4A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1">
    <w:nsid w:val="22816B78"/>
    <w:multiLevelType w:val="hybridMultilevel"/>
    <w:tmpl w:val="36C2F90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896354"/>
    <w:multiLevelType w:val="hybridMultilevel"/>
    <w:tmpl w:val="04D6CC7E"/>
    <w:lvl w:ilvl="0" w:tplc="197E3B0E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>
    <w:nsid w:val="25CD5ED3"/>
    <w:multiLevelType w:val="hybridMultilevel"/>
    <w:tmpl w:val="77AEC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2F7CE6"/>
    <w:multiLevelType w:val="hybridMultilevel"/>
    <w:tmpl w:val="CADCF64C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5">
    <w:nsid w:val="2C1F6EAE"/>
    <w:multiLevelType w:val="hybridMultilevel"/>
    <w:tmpl w:val="8E665316"/>
    <w:lvl w:ilvl="0" w:tplc="0C406FBA">
      <w:start w:val="2011"/>
      <w:numFmt w:val="decimal"/>
      <w:lvlText w:val="28.04.%1"/>
      <w:lvlJc w:val="left"/>
      <w:rPr>
        <w:sz w:val="28"/>
        <w:szCs w:val="28"/>
      </w:rPr>
    </w:lvl>
    <w:lvl w:ilvl="1" w:tplc="A7BE8E26">
      <w:start w:val="1"/>
      <w:numFmt w:val="decimal"/>
      <w:lvlText w:val="%2."/>
      <w:lvlJc w:val="left"/>
      <w:rPr>
        <w:sz w:val="28"/>
        <w:szCs w:val="28"/>
      </w:rPr>
    </w:lvl>
    <w:lvl w:ilvl="2" w:tplc="E6063992">
      <w:numFmt w:val="decimal"/>
      <w:lvlText w:val=""/>
      <w:lvlJc w:val="left"/>
    </w:lvl>
    <w:lvl w:ilvl="3" w:tplc="FFE82138">
      <w:numFmt w:val="decimal"/>
      <w:lvlText w:val=""/>
      <w:lvlJc w:val="left"/>
    </w:lvl>
    <w:lvl w:ilvl="4" w:tplc="BA20099E">
      <w:numFmt w:val="decimal"/>
      <w:lvlText w:val=""/>
      <w:lvlJc w:val="left"/>
    </w:lvl>
    <w:lvl w:ilvl="5" w:tplc="3D08B8DE">
      <w:numFmt w:val="decimal"/>
      <w:lvlText w:val=""/>
      <w:lvlJc w:val="left"/>
    </w:lvl>
    <w:lvl w:ilvl="6" w:tplc="CB6A3192">
      <w:numFmt w:val="decimal"/>
      <w:lvlText w:val=""/>
      <w:lvlJc w:val="left"/>
    </w:lvl>
    <w:lvl w:ilvl="7" w:tplc="37DEC3DC">
      <w:numFmt w:val="decimal"/>
      <w:lvlText w:val=""/>
      <w:lvlJc w:val="left"/>
    </w:lvl>
    <w:lvl w:ilvl="8" w:tplc="80D4D74A">
      <w:numFmt w:val="decimal"/>
      <w:lvlText w:val=""/>
      <w:lvlJc w:val="left"/>
    </w:lvl>
  </w:abstractNum>
  <w:abstractNum w:abstractNumId="16">
    <w:nsid w:val="2C6B3C8B"/>
    <w:multiLevelType w:val="hybridMultilevel"/>
    <w:tmpl w:val="62A603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A256F4"/>
    <w:multiLevelType w:val="hybridMultilevel"/>
    <w:tmpl w:val="38C2F3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DF0588A"/>
    <w:multiLevelType w:val="hybridMultilevel"/>
    <w:tmpl w:val="F564A3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EBA2465"/>
    <w:multiLevelType w:val="hybridMultilevel"/>
    <w:tmpl w:val="FE70C37E"/>
    <w:lvl w:ilvl="0" w:tplc="287A3C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F6C4CBB"/>
    <w:multiLevelType w:val="hybridMultilevel"/>
    <w:tmpl w:val="2618B442"/>
    <w:lvl w:ilvl="0" w:tplc="84A63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FE040B4"/>
    <w:multiLevelType w:val="hybridMultilevel"/>
    <w:tmpl w:val="EA904F2A"/>
    <w:lvl w:ilvl="0" w:tplc="7660BF18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A7E18C3"/>
    <w:multiLevelType w:val="multilevel"/>
    <w:tmpl w:val="3C46C8B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DBB44E5"/>
    <w:multiLevelType w:val="hybridMultilevel"/>
    <w:tmpl w:val="3BBC015E"/>
    <w:lvl w:ilvl="0" w:tplc="0E2E40A0">
      <w:start w:val="1"/>
      <w:numFmt w:val="decimal"/>
      <w:lvlText w:val="%1."/>
      <w:lvlJc w:val="left"/>
      <w:pPr>
        <w:tabs>
          <w:tab w:val="num" w:pos="1515"/>
        </w:tabs>
        <w:ind w:left="1515" w:hanging="915"/>
      </w:pPr>
      <w:rPr>
        <w:rFonts w:hint="default"/>
      </w:rPr>
    </w:lvl>
    <w:lvl w:ilvl="1" w:tplc="048E0C4A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4E8807CF"/>
    <w:multiLevelType w:val="hybridMultilevel"/>
    <w:tmpl w:val="B178FC72"/>
    <w:lvl w:ilvl="0" w:tplc="4F0E66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6598A"/>
    <w:multiLevelType w:val="hybridMultilevel"/>
    <w:tmpl w:val="4EE4D6C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137BF4"/>
    <w:multiLevelType w:val="hybridMultilevel"/>
    <w:tmpl w:val="31ACDE8A"/>
    <w:lvl w:ilvl="0" w:tplc="CD0A9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751FAE"/>
    <w:multiLevelType w:val="hybridMultilevel"/>
    <w:tmpl w:val="73920122"/>
    <w:lvl w:ilvl="0" w:tplc="4DEA60DC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601C24"/>
    <w:multiLevelType w:val="hybridMultilevel"/>
    <w:tmpl w:val="A2645BAC"/>
    <w:lvl w:ilvl="0" w:tplc="0972BF5A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9">
    <w:nsid w:val="588661D9"/>
    <w:multiLevelType w:val="hybridMultilevel"/>
    <w:tmpl w:val="39108214"/>
    <w:lvl w:ilvl="0" w:tplc="287A3C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8A8649B"/>
    <w:multiLevelType w:val="hybridMultilevel"/>
    <w:tmpl w:val="9DA44E40"/>
    <w:lvl w:ilvl="0" w:tplc="9BCEBC4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8D22E1E"/>
    <w:multiLevelType w:val="hybridMultilevel"/>
    <w:tmpl w:val="D0AE546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5B6457CA"/>
    <w:multiLevelType w:val="hybridMultilevel"/>
    <w:tmpl w:val="A7BA1AC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06686B"/>
    <w:multiLevelType w:val="hybridMultilevel"/>
    <w:tmpl w:val="B9B83808"/>
    <w:lvl w:ilvl="0" w:tplc="EF985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F6DC0"/>
    <w:multiLevelType w:val="hybridMultilevel"/>
    <w:tmpl w:val="75C469EA"/>
    <w:lvl w:ilvl="0" w:tplc="0419000F">
      <w:start w:val="1"/>
      <w:numFmt w:val="decimal"/>
      <w:lvlText w:val="%1."/>
      <w:lvlJc w:val="left"/>
      <w:pPr>
        <w:ind w:left="1441" w:hanging="360"/>
      </w:p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35">
    <w:nsid w:val="61AE1C41"/>
    <w:multiLevelType w:val="hybridMultilevel"/>
    <w:tmpl w:val="57F25AE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33C37AC"/>
    <w:multiLevelType w:val="hybridMultilevel"/>
    <w:tmpl w:val="E6C847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96F16AC"/>
    <w:multiLevelType w:val="multilevel"/>
    <w:tmpl w:val="4EE4D6C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9E6781"/>
    <w:multiLevelType w:val="hybridMultilevel"/>
    <w:tmpl w:val="03D8F532"/>
    <w:lvl w:ilvl="0" w:tplc="2F3ED7D0">
      <w:start w:val="1"/>
      <w:numFmt w:val="decimal"/>
      <w:lvlText w:val="%1)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C2463B8"/>
    <w:multiLevelType w:val="hybridMultilevel"/>
    <w:tmpl w:val="CFA0CDD8"/>
    <w:lvl w:ilvl="0" w:tplc="197E3B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0890118"/>
    <w:multiLevelType w:val="hybridMultilevel"/>
    <w:tmpl w:val="29B0913A"/>
    <w:lvl w:ilvl="0" w:tplc="0419000F">
      <w:start w:val="1"/>
      <w:numFmt w:val="decimal"/>
      <w:lvlText w:val="%1."/>
      <w:lvlJc w:val="left"/>
      <w:pPr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41">
    <w:nsid w:val="712E4C2C"/>
    <w:multiLevelType w:val="hybridMultilevel"/>
    <w:tmpl w:val="90E8B1D8"/>
    <w:lvl w:ilvl="0" w:tplc="59A69F9E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DB7A96"/>
    <w:multiLevelType w:val="hybridMultilevel"/>
    <w:tmpl w:val="47C812EE"/>
    <w:lvl w:ilvl="0" w:tplc="7660BF18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3">
    <w:nsid w:val="7B845578"/>
    <w:multiLevelType w:val="hybridMultilevel"/>
    <w:tmpl w:val="6722231E"/>
    <w:lvl w:ilvl="0" w:tplc="287A3C9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44">
    <w:nsid w:val="7CD3768A"/>
    <w:multiLevelType w:val="hybridMultilevel"/>
    <w:tmpl w:val="8626FD68"/>
    <w:lvl w:ilvl="0" w:tplc="3B78CEA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EDB6406"/>
    <w:multiLevelType w:val="hybridMultilevel"/>
    <w:tmpl w:val="7D521AC2"/>
    <w:lvl w:ilvl="0" w:tplc="CCFA192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5"/>
  </w:num>
  <w:num w:numId="3">
    <w:abstractNumId w:val="28"/>
  </w:num>
  <w:num w:numId="4">
    <w:abstractNumId w:val="42"/>
  </w:num>
  <w:num w:numId="5">
    <w:abstractNumId w:val="21"/>
  </w:num>
  <w:num w:numId="6">
    <w:abstractNumId w:val="38"/>
  </w:num>
  <w:num w:numId="7">
    <w:abstractNumId w:val="4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  <w:sz w:val="24"/>
          <w:szCs w:val="24"/>
        </w:rPr>
      </w:lvl>
    </w:lvlOverride>
  </w:num>
  <w:num w:numId="9">
    <w:abstractNumId w:val="2"/>
  </w:num>
  <w:num w:numId="10">
    <w:abstractNumId w:val="13"/>
  </w:num>
  <w:num w:numId="11">
    <w:abstractNumId w:val="3"/>
  </w:num>
  <w:num w:numId="12">
    <w:abstractNumId w:val="20"/>
  </w:num>
  <w:num w:numId="13">
    <w:abstractNumId w:val="26"/>
  </w:num>
  <w:num w:numId="14">
    <w:abstractNumId w:val="25"/>
  </w:num>
  <w:num w:numId="15">
    <w:abstractNumId w:val="37"/>
  </w:num>
  <w:num w:numId="16">
    <w:abstractNumId w:val="9"/>
  </w:num>
  <w:num w:numId="17">
    <w:abstractNumId w:val="8"/>
  </w:num>
  <w:num w:numId="18">
    <w:abstractNumId w:val="7"/>
  </w:num>
  <w:num w:numId="19">
    <w:abstractNumId w:val="4"/>
  </w:num>
  <w:num w:numId="20">
    <w:abstractNumId w:val="30"/>
  </w:num>
  <w:num w:numId="21">
    <w:abstractNumId w:val="24"/>
  </w:num>
  <w:num w:numId="22">
    <w:abstractNumId w:val="27"/>
  </w:num>
  <w:num w:numId="23">
    <w:abstractNumId w:val="44"/>
  </w:num>
  <w:num w:numId="24">
    <w:abstractNumId w:val="6"/>
  </w:num>
  <w:num w:numId="25">
    <w:abstractNumId w:val="15"/>
  </w:num>
  <w:num w:numId="26">
    <w:abstractNumId w:val="33"/>
  </w:num>
  <w:num w:numId="27">
    <w:abstractNumId w:val="32"/>
  </w:num>
  <w:num w:numId="28">
    <w:abstractNumId w:val="18"/>
  </w:num>
  <w:num w:numId="29">
    <w:abstractNumId w:val="34"/>
  </w:num>
  <w:num w:numId="30">
    <w:abstractNumId w:val="40"/>
  </w:num>
  <w:num w:numId="31">
    <w:abstractNumId w:val="10"/>
  </w:num>
  <w:num w:numId="32">
    <w:abstractNumId w:val="14"/>
  </w:num>
  <w:num w:numId="33">
    <w:abstractNumId w:val="36"/>
  </w:num>
  <w:num w:numId="34">
    <w:abstractNumId w:val="35"/>
  </w:num>
  <w:num w:numId="35">
    <w:abstractNumId w:val="16"/>
  </w:num>
  <w:num w:numId="36">
    <w:abstractNumId w:val="1"/>
  </w:num>
  <w:num w:numId="37">
    <w:abstractNumId w:val="31"/>
  </w:num>
  <w:num w:numId="38">
    <w:abstractNumId w:val="22"/>
  </w:num>
  <w:num w:numId="39">
    <w:abstractNumId w:val="17"/>
  </w:num>
  <w:num w:numId="40">
    <w:abstractNumId w:val="43"/>
  </w:num>
  <w:num w:numId="41">
    <w:abstractNumId w:val="12"/>
  </w:num>
  <w:num w:numId="42">
    <w:abstractNumId w:val="11"/>
  </w:num>
  <w:num w:numId="43">
    <w:abstractNumId w:val="39"/>
  </w:num>
  <w:num w:numId="44">
    <w:abstractNumId w:val="29"/>
  </w:num>
  <w:num w:numId="45">
    <w:abstractNumId w:val="5"/>
  </w:num>
  <w:num w:numId="46">
    <w:abstractNumId w:val="1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/>
      <w:adjustRightInd/>
      <w:spacing w:line="360" w:lineRule="auto"/>
      <w:textAlignment w:val="auto"/>
      <w:outlineLvl w:val="0"/>
    </w:pPr>
    <w:rPr>
      <w:rFonts w:ascii="Arial" w:hAnsi="Arial"/>
      <w:szCs w:val="20"/>
    </w:rPr>
  </w:style>
  <w:style w:type="paragraph" w:styleId="2">
    <w:name w:val="heading 2"/>
    <w:basedOn w:val="a"/>
    <w:next w:val="a"/>
    <w:qFormat/>
    <w:pPr>
      <w:keepNext/>
      <w:widowControl/>
      <w:adjustRightInd/>
      <w:spacing w:line="360" w:lineRule="auto"/>
      <w:ind w:left="2160" w:firstLine="720"/>
      <w:textAlignment w:val="auto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pPr>
      <w:keepNext/>
      <w:widowControl/>
      <w:adjustRightInd/>
      <w:spacing w:line="360" w:lineRule="auto"/>
      <w:jc w:val="right"/>
      <w:textAlignment w:val="auto"/>
      <w:outlineLvl w:val="2"/>
    </w:pPr>
    <w:rPr>
      <w:rFonts w:ascii="Arial" w:hAnsi="Arial"/>
      <w:bCs/>
      <w:szCs w:val="20"/>
    </w:rPr>
  </w:style>
  <w:style w:type="paragraph" w:styleId="4">
    <w:name w:val="heading 4"/>
    <w:basedOn w:val="a"/>
    <w:next w:val="a"/>
    <w:qFormat/>
    <w:pPr>
      <w:keepNext/>
      <w:widowControl/>
      <w:adjustRightInd/>
      <w:spacing w:line="240" w:lineRule="auto"/>
      <w:jc w:val="center"/>
      <w:textAlignment w:val="auto"/>
      <w:outlineLvl w:val="3"/>
    </w:pPr>
    <w:rPr>
      <w:rFonts w:ascii="Arial" w:hAnsi="Arial" w:cs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rFonts w:ascii="Arial" w:hAnsi="Arial"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table" w:styleId="a7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hAnsi="Courier New" w:cs="Courier New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 Indent"/>
    <w:basedOn w:val="a"/>
    <w:pPr>
      <w:widowControl/>
      <w:adjustRightInd/>
      <w:spacing w:after="120" w:line="240" w:lineRule="auto"/>
      <w:ind w:left="283"/>
      <w:jc w:val="left"/>
      <w:textAlignment w:val="auto"/>
    </w:pPr>
  </w:style>
  <w:style w:type="paragraph" w:customStyle="1" w:styleId="aa">
    <w:name w:val="Знак 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styleId="20">
    <w:name w:val="Body Text Indent 2"/>
    <w:basedOn w:val="a"/>
    <w:link w:val="21"/>
    <w:pPr>
      <w:widowControl/>
      <w:adjustRightInd/>
      <w:spacing w:after="120" w:line="480" w:lineRule="auto"/>
      <w:ind w:left="283"/>
      <w:jc w:val="left"/>
      <w:textAlignment w:val="auto"/>
    </w:pPr>
  </w:style>
  <w:style w:type="paragraph" w:customStyle="1" w:styleId="210">
    <w:name w:val="Основной текст с отступом 21"/>
    <w:basedOn w:val="a"/>
    <w:pPr>
      <w:widowControl/>
      <w:suppressAutoHyphens/>
      <w:adjustRightInd/>
      <w:spacing w:after="120" w:line="480" w:lineRule="auto"/>
      <w:ind w:left="283"/>
      <w:jc w:val="left"/>
      <w:textAlignment w:val="auto"/>
    </w:pPr>
    <w:rPr>
      <w:lang w:eastAsia="ar-SA"/>
    </w:rPr>
  </w:style>
  <w:style w:type="paragraph" w:customStyle="1" w:styleId="ab">
    <w:name w:val="Знак Знак Знак Знак Знак Знак Знак Знак Знак Знак 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d">
    <w:name w:val="Нормальный"/>
    <w:basedOn w:val="a"/>
    <w:pPr>
      <w:adjustRightInd/>
      <w:spacing w:line="240" w:lineRule="auto"/>
      <w:ind w:firstLine="720"/>
      <w:textAlignment w:val="auto"/>
    </w:pPr>
    <w:rPr>
      <w:rFonts w:ascii="SchoolBook" w:hAnsi="SchoolBook"/>
      <w:sz w:val="26"/>
      <w:szCs w:val="20"/>
    </w:rPr>
  </w:style>
  <w:style w:type="paragraph" w:customStyle="1" w:styleId="10">
    <w:name w:val="Знак Знак Знак Знак Знак Знак Знак Знак Знак Знак Знак Знак Знак Знак Знак Знак Знак Знак1 Знак 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 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 Знак Знак Знак Знак Знак Знак Знак Знак Знак Знак Знак Знак Знак Знак Знак Знак Знак1 Знак Знак Знак Знак 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Интерактивный заголовок"/>
    <w:basedOn w:val="a"/>
    <w:next w:val="a"/>
    <w:pPr>
      <w:autoSpaceDE w:val="0"/>
      <w:autoSpaceDN w:val="0"/>
      <w:spacing w:line="240" w:lineRule="auto"/>
      <w:ind w:firstLine="720"/>
      <w:textAlignment w:val="auto"/>
    </w:pPr>
    <w:rPr>
      <w:rFonts w:ascii="Verdana" w:hAnsi="Verdana" w:cs="Verdana"/>
      <w:b/>
      <w:bCs/>
      <w:color w:val="C0C0C0"/>
      <w:sz w:val="22"/>
      <w:szCs w:val="22"/>
      <w:u w:val="single"/>
    </w:rPr>
  </w:style>
  <w:style w:type="paragraph" w:customStyle="1" w:styleId="af0">
    <w:name w:val="Знак Знак Знак Знак Знак Знак Знак Знак Знак Знак Знак Знак Знак Знак Знак Знак 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ing">
    <w:name w:val="Heading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Pr>
      <w:sz w:val="24"/>
      <w:szCs w:val="24"/>
    </w:rPr>
  </w:style>
  <w:style w:type="paragraph" w:styleId="af4">
    <w:name w:val="List Paragraph"/>
    <w:basedOn w:val="a"/>
    <w:qFormat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link w:val="a3"/>
    <w:rPr>
      <w:rFonts w:ascii="Arial" w:hAnsi="Arial"/>
      <w:sz w:val="24"/>
      <w:lang w:val="ru-RU" w:eastAsia="ru-RU" w:bidi="ar-SA"/>
    </w:rPr>
  </w:style>
  <w:style w:type="character" w:customStyle="1" w:styleId="12">
    <w:name w:val="Основной текст1"/>
    <w:basedOn w:val="a0"/>
    <w:link w:val="22"/>
    <w:rPr>
      <w:sz w:val="28"/>
      <w:szCs w:val="28"/>
      <w:shd w:val="clear" w:color="auto" w:fill="FFFFFF"/>
    </w:rPr>
  </w:style>
  <w:style w:type="paragraph" w:customStyle="1" w:styleId="22">
    <w:name w:val="Основной текст2"/>
    <w:basedOn w:val="a"/>
    <w:link w:val="12"/>
    <w:pPr>
      <w:widowControl/>
      <w:shd w:val="clear" w:color="auto" w:fill="FFFFFF"/>
      <w:adjustRightInd/>
      <w:spacing w:line="322" w:lineRule="exact"/>
      <w:ind w:firstLine="680"/>
      <w:textAlignment w:val="auto"/>
    </w:pPr>
    <w:rPr>
      <w:sz w:val="28"/>
      <w:szCs w:val="28"/>
    </w:rPr>
  </w:style>
  <w:style w:type="character" w:customStyle="1" w:styleId="25">
    <w:name w:val="Основной текст (25)"/>
    <w:basedOn w:val="a0"/>
    <w:link w:val="251"/>
    <w:uiPriority w:val="99"/>
    <w:rPr>
      <w:sz w:val="28"/>
      <w:szCs w:val="28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pPr>
      <w:widowControl/>
      <w:shd w:val="clear" w:color="auto" w:fill="FFFFFF"/>
      <w:adjustRightInd/>
      <w:spacing w:before="360" w:after="240" w:line="317" w:lineRule="exact"/>
      <w:ind w:firstLine="700"/>
      <w:textAlignment w:val="auto"/>
    </w:pPr>
    <w:rPr>
      <w:sz w:val="28"/>
      <w:szCs w:val="28"/>
    </w:rPr>
  </w:style>
  <w:style w:type="character" w:customStyle="1" w:styleId="af3">
    <w:name w:val="Текст выноски Знак"/>
    <w:basedOn w:val="a0"/>
    <w:link w:val="af2"/>
    <w:rPr>
      <w:rFonts w:ascii="Tahoma" w:hAnsi="Tahoma" w:cs="Tahoma"/>
      <w:sz w:val="16"/>
      <w:szCs w:val="16"/>
    </w:rPr>
  </w:style>
  <w:style w:type="paragraph" w:customStyle="1" w:styleId="30">
    <w:name w:val="Основной текст3"/>
    <w:basedOn w:val="a"/>
    <w:pPr>
      <w:widowControl/>
      <w:shd w:val="clear" w:color="auto" w:fill="FFFFFF"/>
      <w:adjustRightInd/>
      <w:spacing w:line="322" w:lineRule="exact"/>
      <w:ind w:firstLine="680"/>
      <w:textAlignment w:val="auto"/>
    </w:pPr>
    <w:rPr>
      <w:color w:val="000000"/>
      <w:sz w:val="28"/>
      <w:szCs w:val="28"/>
    </w:rPr>
  </w:style>
  <w:style w:type="paragraph" w:styleId="af5">
    <w:name w:val="No Spacing"/>
    <w:qFormat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5">
    <w:name w:val="Основной текст (5)"/>
    <w:link w:val="51"/>
    <w:uiPriority w:val="99"/>
    <w:rPr>
      <w:rFonts w:ascii="Arial" w:hAnsi="Arial" w:cs="Arial"/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pPr>
      <w:widowControl/>
      <w:shd w:val="clear" w:color="auto" w:fill="FFFFFF"/>
      <w:adjustRightInd/>
      <w:spacing w:line="413" w:lineRule="exact"/>
      <w:jc w:val="left"/>
      <w:textAlignment w:val="auto"/>
    </w:pPr>
    <w:rPr>
      <w:rFonts w:ascii="Arial" w:hAnsi="Arial" w:cs="Arial"/>
    </w:rPr>
  </w:style>
  <w:style w:type="character" w:customStyle="1" w:styleId="314pt">
    <w:name w:val="Основной текст (3) + 14 pt;Не полужирный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character" w:customStyle="1" w:styleId="27">
    <w:name w:val="Основной текст (27) + Не полужирный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</w:rPr>
  </w:style>
  <w:style w:type="paragraph" w:customStyle="1" w:styleId="af6">
    <w:name w:val="Прижатый влево"/>
    <w:basedOn w:val="a"/>
    <w:next w:val="a"/>
    <w:uiPriority w:val="99"/>
    <w:pPr>
      <w:widowControl/>
      <w:autoSpaceDE w:val="0"/>
      <w:autoSpaceDN w:val="0"/>
      <w:spacing w:line="240" w:lineRule="auto"/>
      <w:jc w:val="left"/>
      <w:textAlignment w:val="auto"/>
    </w:pPr>
    <w:rPr>
      <w:rFonts w:ascii="Arial" w:eastAsiaTheme="minorHAnsi" w:hAnsi="Arial" w:cs="Arial"/>
      <w:lang w:eastAsia="en-US"/>
    </w:rPr>
  </w:style>
  <w:style w:type="character" w:customStyle="1" w:styleId="af7">
    <w:name w:val="Знак"/>
    <w:basedOn w:val="a0"/>
    <w:rPr>
      <w:sz w:val="28"/>
      <w:lang w:val="ru-RU" w:bidi="ar-SA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41463-7519-4087-9468-FDC6692E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889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 К Т</vt:lpstr>
    </vt:vector>
  </TitlesOfParts>
  <Company>ksp</Company>
  <LinksUpToDate>false</LinksUpToDate>
  <CharactersWithSpaces>7242</CharactersWithSpaces>
  <SharedDoc>false</SharedDoc>
  <HLinks>
    <vt:vector size="6" baseType="variant">
      <vt:variant>
        <vt:i4>8257647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consultantplus://offline/ref=DE339A16E178AD594C491D9D8FAD8F3C32FC81A44D94D150908775ED32D2065CBED32058139DBABB4507G9O1M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subject/>
  <dc:creator>Нагибина</dc:creator>
  <cp:keywords/>
  <cp:lastModifiedBy>Татьяна Александровна Огарь</cp:lastModifiedBy>
  <cp:revision>6</cp:revision>
  <cp:lastPrinted>2015-11-11T07:50:00Z</cp:lastPrinted>
  <dcterms:created xsi:type="dcterms:W3CDTF">2016-01-14T01:27:00Z</dcterms:created>
  <dcterms:modified xsi:type="dcterms:W3CDTF">2017-12-20T05:24:00Z</dcterms:modified>
</cp:coreProperties>
</file>