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pStyle w:val="Style3"/>
        <w:framePr w:w="10334" w:h="14547" w:hRule="exact" w:wrap="none" w:vAnchor="page" w:hAnchor="page" w:x="1040" w:y="1038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Информация о результатах контрольного мероприятия</w:t>
      </w:r>
    </w:p>
    <w:p>
      <w:pPr>
        <w:pStyle w:val="Style5"/>
        <w:framePr w:w="10334" w:h="14547" w:hRule="exact" w:wrap="none" w:vAnchor="page" w:hAnchor="page" w:x="1040" w:y="1038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«Проверка некоммерческой организации «Региональный фонд капитального ремонта многоквартирных домов» по вопросу законности и эффективности использования средств областного бюджета, направленных в 2015 году на проведение капитального ремонта многоквартирных домов в рамках государственной программы Омской области «Создание условий для обеспечения граждан доступным и комфортным жильем и жилищно-коммунальными услугами в Омской области»</w:t>
      </w:r>
    </w:p>
    <w:p>
      <w:pPr>
        <w:pStyle w:val="Style5"/>
        <w:numPr>
          <w:ilvl w:val="0"/>
          <w:numId w:val="1"/>
        </w:numPr>
        <w:framePr w:w="10334" w:h="14547" w:hRule="exact" w:wrap="none" w:vAnchor="page" w:hAnchor="page" w:x="1040" w:y="1038"/>
        <w:tabs>
          <w:tab w:leader="none" w:pos="104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rStyle w:val="CharStyle7"/>
        </w:rPr>
        <w:t xml:space="preserve">Основания для проведения контрольного мероприятия: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пункт 1.39. плана работы Контрольно-счетной палаты Омской области (далее - КСП Омской области) на 2016 год, распоряжение председателя КСП Омской области от 27.04.2016 № 70.</w:t>
      </w:r>
    </w:p>
    <w:p>
      <w:pPr>
        <w:pStyle w:val="Style3"/>
        <w:numPr>
          <w:ilvl w:val="0"/>
          <w:numId w:val="1"/>
        </w:numPr>
        <w:framePr w:w="10334" w:h="14547" w:hRule="exact" w:wrap="none" w:vAnchor="page" w:hAnchor="page" w:x="1040" w:y="1038"/>
        <w:tabs>
          <w:tab w:leader="none" w:pos="1239" w:val="left"/>
          <w:tab w:leader="none" w:pos="657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Объект контрольного мероприятия:</w:t>
        <w:tab/>
      </w:r>
      <w:r>
        <w:rPr>
          <w:rStyle w:val="CharStyle8"/>
          <w:b w:val="0"/>
          <w:bCs w:val="0"/>
        </w:rPr>
        <w:t>некоммерческая организация</w:t>
      </w:r>
    </w:p>
    <w:p>
      <w:pPr>
        <w:pStyle w:val="Style5"/>
        <w:framePr w:w="10334" w:h="14547" w:hRule="exact" w:wrap="none" w:vAnchor="page" w:hAnchor="page" w:x="1040" w:y="103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«Региональный фонд капитального ремонта многоквартирных домов».</w:t>
      </w:r>
    </w:p>
    <w:p>
      <w:pPr>
        <w:pStyle w:val="Style5"/>
        <w:numPr>
          <w:ilvl w:val="0"/>
          <w:numId w:val="1"/>
        </w:numPr>
        <w:framePr w:w="10334" w:h="14547" w:hRule="exact" w:wrap="none" w:vAnchor="page" w:hAnchor="page" w:x="1040" w:y="1038"/>
        <w:tabs>
          <w:tab w:leader="none" w:pos="1072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rStyle w:val="CharStyle7"/>
        </w:rPr>
        <w:t xml:space="preserve">Проверяемый период: </w:t>
      </w:r>
      <w:r>
        <w:rPr>
          <w:lang w:val="ru-RU" w:eastAsia="ru-RU" w:bidi="ru-RU"/>
          <w:w w:val="100"/>
          <w:spacing w:val="0"/>
          <w:color w:val="000000"/>
          <w:position w:val="0"/>
        </w:rPr>
        <w:t>с 1 января по 31 декабря 2015 года.</w:t>
      </w:r>
    </w:p>
    <w:p>
      <w:pPr>
        <w:pStyle w:val="Style3"/>
        <w:numPr>
          <w:ilvl w:val="0"/>
          <w:numId w:val="1"/>
        </w:numPr>
        <w:framePr w:w="10334" w:h="14547" w:hRule="exact" w:wrap="none" w:vAnchor="page" w:hAnchor="page" w:x="1040" w:y="1038"/>
        <w:tabs>
          <w:tab w:leader="none" w:pos="104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60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 xml:space="preserve">Сроки проведения контрольного мероприятия: </w:t>
      </w:r>
      <w:r>
        <w:rPr>
          <w:rStyle w:val="CharStyle8"/>
          <w:b w:val="0"/>
          <w:bCs w:val="0"/>
        </w:rPr>
        <w:t>с 28 апреля по 24 мая 2016 года.</w:t>
      </w:r>
    </w:p>
    <w:p>
      <w:pPr>
        <w:pStyle w:val="Style3"/>
        <w:numPr>
          <w:ilvl w:val="0"/>
          <w:numId w:val="1"/>
        </w:numPr>
        <w:framePr w:w="10334" w:h="14547" w:hRule="exact" w:wrap="none" w:vAnchor="page" w:hAnchor="page" w:x="1040" w:y="1038"/>
        <w:tabs>
          <w:tab w:leader="none" w:pos="103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Нарушения и недостатки, выявленные в ходе проведения контрольного мероприятия.</w:t>
      </w:r>
    </w:p>
    <w:p>
      <w:pPr>
        <w:pStyle w:val="Style5"/>
        <w:framePr w:w="10334" w:h="14547" w:hRule="exact" w:wrap="none" w:vAnchor="page" w:hAnchor="page" w:x="1040" w:y="103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региональную программу капитального ремонта общего имущества в многоквартирных домах, расположенных на территории Омской области, на 2014 - 2043 годы, утвержденную постановлением Правительства Омской области от 30.12.2013 № 369-п (далее - региональная программа капремонта), и муниципальные краткосрочные планы внесены изменения в части включения (исключения) многоквартирных домов, которые в краткосрочном (сроком до трех лет) плане реализации региональной программы капитального ремонта общего имущества в многоквартирных домах, расположенных на территории Омской области на 2014 - 2016 годы, утвержденном приказом Министерства строительства и жилищно</w:t>
        <w:t>коммунального комплекса Омской области (далее - Минстрой) от 15.07.2014 № 39-п (далее - региональный краткосрочный план), на момент проведения контрольного мероприятия не отражены. Так, в 2014 году краткосрочным планом предусмотрено проведение капитального ремонта 469 МКД, в 2015 году - 1085 МКД, что соответственно на 14 и 16 домов выше показателей, отраженных в региональной программе капремонта.</w:t>
      </w:r>
    </w:p>
    <w:p>
      <w:pPr>
        <w:pStyle w:val="Style5"/>
        <w:framePr w:w="10334" w:h="14547" w:hRule="exact" w:wrap="none" w:vAnchor="page" w:hAnchor="page" w:x="1040" w:y="103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Кроме того, в нарушение части 2 статьи 168 Жилищного кодекса РФ в актуализированную региональную программу капитального ремонта не включены МКД, введенные в эксплуатацию в 2015 году, а также дома, с которых решением суда в 2015 году снят статус аварийных и подлежащих сносу.</w:t>
      </w:r>
    </w:p>
    <w:p>
      <w:pPr>
        <w:pStyle w:val="Style5"/>
        <w:framePr w:w="10334" w:h="14547" w:hRule="exact" w:wrap="none" w:vAnchor="page" w:hAnchor="page" w:x="1040" w:y="103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«Региональным фондом капитального ремонта многоквартирных домов» (далее - Фонд или региональный оператор) допущено нарушение сроков выполнения работ по капитальному ремонту МКД, установленных региональной программой капремонта. Так, из 1069 МКД, капитальный ремонт которых запланирован на 2015 год, отремонтировано в срок только 72 МКД.</w:t>
      </w:r>
    </w:p>
    <w:p>
      <w:pPr>
        <w:pStyle w:val="Style5"/>
        <w:framePr w:w="10334" w:h="14547" w:hRule="exact" w:wrap="none" w:vAnchor="page" w:hAnchor="page" w:x="1040" w:y="1038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Одной из причин нарушения установленных региональной программой капремонта сроков являются многочисленные случаи отказов победителей конкурсов по отбору подрядных организаций от заключения договоров, которые в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9"/>
        <w:framePr w:w="10330" w:h="350" w:hRule="exact" w:wrap="none" w:vAnchor="page" w:hAnchor="page" w:x="1042" w:y="724"/>
        <w:widowControl w:val="0"/>
        <w:keepNext w:val="0"/>
        <w:keepLines w:val="0"/>
        <w:shd w:val="clear" w:color="auto" w:fill="auto"/>
        <w:bidi w:val="0"/>
        <w:spacing w:before="0" w:after="0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2</w:t>
      </w:r>
    </w:p>
    <w:p>
      <w:pPr>
        <w:pStyle w:val="Style5"/>
        <w:framePr w:w="10330" w:h="14515" w:hRule="exact" w:wrap="none" w:vAnchor="page" w:hAnchor="page" w:x="1042" w:y="1074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проверяемом периоде имели место в отношении 55 многоквартирных домов. Кроме того, подрядными организациями систематически нарушались сроки выполнения работ, установленные заключенными договорами.</w:t>
      </w:r>
    </w:p>
    <w:p>
      <w:pPr>
        <w:pStyle w:val="Style5"/>
        <w:framePr w:w="10330" w:h="14515" w:hRule="exact" w:wrap="none" w:vAnchor="page" w:hAnchor="page" w:x="1042" w:y="1074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2015 году Фонду предоставлена субсидия на финансовое обеспечение долевого софинансирования проведения капитального ремонта общего имущества 95-ти МКД в сумме 38 019,4 тыс. рублей. На момент проверки на 23 МКД, включенных в заявки 2015 года, договоры на проведение капитального ремонта не заключены. Средства субсидии в сумме 8 343,1 тыс. рублей, в том числе средства Фонда содействия реформированию жилищно-коммунального хозяйства (далее - Фонд ЖКХ) - 5 409,9 тыс. рублей, средства областного бюджета - 2 933,2 тыс. рублей, предоставленные для капитального ремонта указанных МКД, до настоящего времени находятся на банковских счетах регионального оператора.</w:t>
      </w:r>
    </w:p>
    <w:p>
      <w:pPr>
        <w:pStyle w:val="Style5"/>
        <w:framePr w:w="10330" w:h="14515" w:hRule="exact" w:wrap="none" w:vAnchor="page" w:hAnchor="page" w:x="1042" w:y="1074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Приказом Фонда от 09.04.2015 № 9-О «О внесении изменений в приказ Регионального фонда капитального ремонта многоквартирных домов от 26.08.2014 № 19-О «Об организации проведения конкурсов по отбору подрядных организаций» внесены изменения, устанавливающие правомочность заседания конкурсной комиссии по отбору подрядных организаций при участии в ней всего трех членов конкурсной комиссии (то есть менее 30 % от состава, утвержденного в количестве 11 человек), и увеличивающие риск возникновения злоупотреблений со стороны организатора конкурса, конкурсной комиссии и участников конкурса.</w:t>
      </w:r>
    </w:p>
    <w:p>
      <w:pPr>
        <w:pStyle w:val="Style5"/>
        <w:framePr w:w="10330" w:h="14515" w:hRule="exact" w:wrap="none" w:vAnchor="page" w:hAnchor="page" w:x="1042" w:y="1074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В результате проведенных мероприятий по определению подрядных организаций для капитального ремонта МКД, а также снижения фактической стоимости выполненных работ по договорам с государственной поддержкой, исполненным в 2015 году, региональным оператором получена экономия по средствам субсидии в сумме 18 165,0 тыс. рублей (средства Фонда ЖКХ - 11 777,5 тыс. рублей, средства областного бюджета - 6 387,5 тыс. рублей), которая в нарушение пункта 8 Порядка определения объема и предоставления субсидий, утвержденного постановлением Правительства Омской области от 24.07.2013 № 156-п (далее - Порядок), и пункта 2 заключенных соглашений на момент проведения контрольного мероприятия Министерству строительства и жилищно</w:t>
        <w:t>коммунального комплекса Омской области (далее - Минстрой) не возвращена.</w:t>
      </w:r>
    </w:p>
    <w:p>
      <w:pPr>
        <w:pStyle w:val="Style5"/>
        <w:framePr w:w="10330" w:h="14515" w:hRule="exact" w:wrap="none" w:vAnchor="page" w:hAnchor="page" w:x="1042" w:y="1074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Необходимо отметить, что в соответствии с пунктом 9 Порядка возврат субсидий осуществляется региональным оператором в течение 30 календарных дней со дня получения уведомления Минстроя о возврате субсидий. Однако уведомление о возврате субсидий по указанной экономии Минстроем в Фонд не направлялось.</w:t>
      </w:r>
    </w:p>
    <w:p>
      <w:pPr>
        <w:pStyle w:val="Style5"/>
        <w:framePr w:w="10330" w:h="14515" w:hRule="exact" w:wrap="none" w:vAnchor="page" w:hAnchor="page" w:x="1042" w:y="1074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Проверкой сметной и исполнительной документации на проведение капитального ремонта МКД установлено завышение стоимости работ и затрат на общую сумму 76,5 тыс. рублей. Кроме того, объемы и стоимость выполненных работ по капитальному ремонту МКД, отраженные в актах о приемке выполненных работ ф. № КС-2, завышены на общую сумму 212,3 тыс. рублей.</w:t>
      </w:r>
    </w:p>
    <w:p>
      <w:pPr>
        <w:pStyle w:val="Style5"/>
        <w:framePr w:w="10330" w:h="14515" w:hRule="exact" w:wrap="none" w:vAnchor="page" w:hAnchor="page" w:x="1042" w:y="1074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Отчет по результатам контрольного мероприятия рассмотрен и утвержден на заседании коллегии Контрольно-счетной палаты Омской области 27 мая 2016 года.</w:t>
      </w:r>
    </w:p>
    <w:p>
      <w:pPr>
        <w:pStyle w:val="Style3"/>
        <w:numPr>
          <w:ilvl w:val="0"/>
          <w:numId w:val="1"/>
        </w:numPr>
        <w:framePr w:w="10330" w:h="14515" w:hRule="exact" w:wrap="none" w:vAnchor="page" w:hAnchor="page" w:x="1042" w:y="1074"/>
        <w:tabs>
          <w:tab w:leader="none" w:pos="1067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По результатам контрольного мероприятия:</w:t>
      </w:r>
    </w:p>
    <w:p>
      <w:pPr>
        <w:pStyle w:val="Style5"/>
        <w:framePr w:w="10330" w:h="14515" w:hRule="exact" w:wrap="none" w:vAnchor="page" w:hAnchor="page" w:x="1042" w:y="1074"/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40"/>
      </w:pPr>
      <w:r>
        <w:rPr>
          <w:lang w:val="ru-RU" w:eastAsia="ru-RU" w:bidi="ru-RU"/>
          <w:w w:val="100"/>
          <w:spacing w:val="0"/>
          <w:color w:val="000000"/>
          <w:position w:val="0"/>
        </w:rPr>
        <w:t>- объекту контроля направлено представление об устранении выявленных нарушений;</w:t>
      </w:r>
    </w:p>
    <w:p>
      <w:pPr>
        <w:widowControl w:val="0"/>
        <w:rPr>
          <w:sz w:val="2"/>
          <w:szCs w:val="2"/>
        </w:rPr>
        <w:sectPr>
          <w:footnotePr>
            <w:pos w:val="pageBottom"/>
            <w:numFmt w:val="decimal"/>
            <w:numRestart w:val="continuous"/>
          </w:footnotePr>
          <w:pgSz w:w="11900" w:h="16840"/>
          <w:pgMar w:top="360" w:left="360" w:right="360" w:bottom="360" w:header="0" w:footer="3" w:gutter="0"/>
          <w:rtlGutter w:val="0"/>
          <w:cols w:space="720"/>
          <w:noEndnote/>
          <w:docGrid w:linePitch="360"/>
        </w:sectPr>
      </w:pPr>
    </w:p>
    <w:p>
      <w:pPr>
        <w:pStyle w:val="Style9"/>
        <w:framePr w:w="10330" w:h="350" w:hRule="exact" w:wrap="none" w:vAnchor="page" w:hAnchor="page" w:x="1042" w:y="724"/>
        <w:widowControl w:val="0"/>
        <w:keepNext w:val="0"/>
        <w:keepLines w:val="0"/>
        <w:shd w:val="clear" w:color="auto" w:fill="auto"/>
        <w:bidi w:val="0"/>
        <w:spacing w:before="0" w:after="0"/>
        <w:ind w:left="2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3</w:t>
      </w:r>
    </w:p>
    <w:p>
      <w:pPr>
        <w:pStyle w:val="Style5"/>
        <w:numPr>
          <w:ilvl w:val="0"/>
          <w:numId w:val="3"/>
        </w:numPr>
        <w:framePr w:w="10330" w:h="4949" w:hRule="exact" w:wrap="none" w:vAnchor="page" w:hAnchor="page" w:x="1042" w:y="1075"/>
        <w:tabs>
          <w:tab w:leader="none" w:pos="1080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копия акта передана в прокуратуру Омской области;</w:t>
      </w:r>
    </w:p>
    <w:p>
      <w:pPr>
        <w:pStyle w:val="Style5"/>
        <w:numPr>
          <w:ilvl w:val="0"/>
          <w:numId w:val="3"/>
        </w:numPr>
        <w:framePr w:w="10330" w:h="4949" w:hRule="exact" w:wrap="none" w:vAnchor="page" w:hAnchor="page" w:x="1042" w:y="1075"/>
        <w:tabs>
          <w:tab w:leader="none" w:pos="1074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направлены информационные письма в адрес Г убернатора Омской области, Председателя Правительства Омской области, Министерства строительства и жилищно-коммунального комплекса Омской области;</w:t>
      </w:r>
    </w:p>
    <w:p>
      <w:pPr>
        <w:pStyle w:val="Style5"/>
        <w:numPr>
          <w:ilvl w:val="0"/>
          <w:numId w:val="3"/>
        </w:numPr>
        <w:framePr w:w="10330" w:h="4949" w:hRule="exact" w:wrap="none" w:vAnchor="page" w:hAnchor="page" w:x="1042" w:y="1075"/>
        <w:tabs>
          <w:tab w:leader="none" w:pos="1074" w:val="left"/>
        </w:tabs>
        <w:widowControl w:val="0"/>
        <w:keepNext w:val="0"/>
        <w:keepLines w:val="0"/>
        <w:shd w:val="clear" w:color="auto" w:fill="auto"/>
        <w:bidi w:val="0"/>
        <w:spacing w:before="0" w:after="0" w:line="322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копии отчета представлены комитетам Законодательного Собрания Омской области финансовой и бюджетной политики, по экономической политике и инвестициям.</w:t>
      </w:r>
    </w:p>
    <w:p>
      <w:pPr>
        <w:pStyle w:val="Style3"/>
        <w:numPr>
          <w:ilvl w:val="0"/>
          <w:numId w:val="1"/>
        </w:numPr>
        <w:framePr w:w="10330" w:h="4949" w:hRule="exact" w:wrap="none" w:vAnchor="page" w:hAnchor="page" w:x="1042" w:y="1075"/>
        <w:tabs>
          <w:tab w:leader="none" w:pos="978" w:val="left"/>
        </w:tabs>
        <w:widowControl w:val="0"/>
        <w:keepNext w:val="0"/>
        <w:keepLines w:val="0"/>
        <w:shd w:val="clear" w:color="auto" w:fill="auto"/>
        <w:bidi w:val="0"/>
        <w:jc w:val="both"/>
        <w:spacing w:before="0" w:after="0" w:line="322" w:lineRule="exact"/>
        <w:ind w:left="60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Принятые решения и меры по устранению выявленных нарушений:</w:t>
      </w:r>
    </w:p>
    <w:p>
      <w:pPr>
        <w:pStyle w:val="Style5"/>
        <w:numPr>
          <w:ilvl w:val="0"/>
          <w:numId w:val="3"/>
        </w:numPr>
        <w:framePr w:w="10330" w:h="4949" w:hRule="exact" w:wrap="none" w:vAnchor="page" w:hAnchor="page" w:x="1042" w:y="1075"/>
        <w:tabs>
          <w:tab w:leader="none" w:pos="1074" w:val="left"/>
        </w:tabs>
        <w:widowControl w:val="0"/>
        <w:keepNext w:val="0"/>
        <w:keepLines w:val="0"/>
        <w:shd w:val="clear" w:color="auto" w:fill="auto"/>
        <w:bidi w:val="0"/>
        <w:spacing w:before="0" w:after="0" w:line="326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объектом контроля разработан план мероприятий по устранению выявленных нарушений;</w:t>
      </w:r>
    </w:p>
    <w:p>
      <w:pPr>
        <w:pStyle w:val="Style5"/>
        <w:numPr>
          <w:ilvl w:val="0"/>
          <w:numId w:val="3"/>
        </w:numPr>
        <w:framePr w:w="10330" w:h="4949" w:hRule="exact" w:wrap="none" w:vAnchor="page" w:hAnchor="page" w:x="1042" w:y="1075"/>
        <w:tabs>
          <w:tab w:leader="none" w:pos="1074" w:val="left"/>
        </w:tabs>
        <w:widowControl w:val="0"/>
        <w:keepNext w:val="0"/>
        <w:keepLines w:val="0"/>
        <w:shd w:val="clear" w:color="auto" w:fill="auto"/>
        <w:bidi w:val="0"/>
        <w:spacing w:before="0" w:after="0" w:line="326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Министерством строительства и жилищно-коммунального комплекса Омской области в адрес фонда направлены уведомления о возврате полученной экономии по средствам субсидии;</w:t>
      </w:r>
    </w:p>
    <w:p>
      <w:pPr>
        <w:pStyle w:val="Style5"/>
        <w:numPr>
          <w:ilvl w:val="0"/>
          <w:numId w:val="3"/>
        </w:numPr>
        <w:framePr w:w="10330" w:h="4949" w:hRule="exact" w:wrap="none" w:vAnchor="page" w:hAnchor="page" w:x="1042" w:y="1075"/>
        <w:tabs>
          <w:tab w:leader="none" w:pos="1074" w:val="left"/>
        </w:tabs>
        <w:widowControl w:val="0"/>
        <w:keepNext w:val="0"/>
        <w:keepLines w:val="0"/>
        <w:shd w:val="clear" w:color="auto" w:fill="auto"/>
        <w:bidi w:val="0"/>
        <w:spacing w:before="0" w:after="0" w:line="326" w:lineRule="exact"/>
        <w:ind w:left="0" w:right="0" w:firstLine="760"/>
      </w:pPr>
      <w:r>
        <w:rPr>
          <w:lang w:val="ru-RU" w:eastAsia="ru-RU" w:bidi="ru-RU"/>
          <w:w w:val="100"/>
          <w:spacing w:val="0"/>
          <w:color w:val="000000"/>
          <w:position w:val="0"/>
        </w:rPr>
        <w:t>прокуратурой Центрального административного округа города Омска в отношении регионального оператора проводится проверка.</w:t>
      </w:r>
    </w:p>
    <w:p>
      <w:pPr>
        <w:pStyle w:val="Style5"/>
        <w:framePr w:w="10330" w:h="659" w:hRule="exact" w:wrap="none" w:vAnchor="page" w:hAnchor="page" w:x="1042" w:y="6738"/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Аудитор Контрольно-счетной палаты</w:t>
      </w:r>
    </w:p>
    <w:p>
      <w:pPr>
        <w:pStyle w:val="Style5"/>
        <w:framePr w:w="10330" w:h="659" w:hRule="exact" w:wrap="none" w:vAnchor="page" w:hAnchor="page" w:x="1042" w:y="6738"/>
        <w:tabs>
          <w:tab w:leader="none" w:pos="7877" w:val="left"/>
        </w:tabs>
        <w:widowControl w:val="0"/>
        <w:keepNext w:val="0"/>
        <w:keepLines w:val="0"/>
        <w:shd w:val="clear" w:color="auto" w:fill="auto"/>
        <w:bidi w:val="0"/>
        <w:spacing w:before="0" w:after="0" w:line="280" w:lineRule="exact"/>
        <w:ind w:left="0" w:right="0" w:firstLine="0"/>
      </w:pPr>
      <w:r>
        <w:rPr>
          <w:lang w:val="ru-RU" w:eastAsia="ru-RU" w:bidi="ru-RU"/>
          <w:w w:val="100"/>
          <w:spacing w:val="0"/>
          <w:color w:val="000000"/>
          <w:position w:val="0"/>
        </w:rPr>
        <w:t>Омской области</w:t>
        <w:tab/>
        <w:t>Н.А. Новосильцева</w: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abstractNum w:abstractNumId="0">
    <w:multiLevelType w:val="multilevel"/>
    <w:lvl w:ilvl="0">
      <w:start w:val="1"/>
      <w:numFmt w:val="decimal"/>
      <w:lvlText w:val="%1."/>
      <w:rPr>
        <w:lang w:val="ru-RU" w:eastAsia="ru-RU" w:bidi="ru-RU"/>
        <w:b/>
        <w:bCs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abstractNum w:abstractNumId="2">
    <w:multiLevelType w:val="multilevel"/>
    <w:lvl w:ilvl="0">
      <w:start w:val="1"/>
      <w:numFmt w:val="bullet"/>
      <w:lvlText w:val="-"/>
      <w:rPr>
        <w:lang w:val="ru-RU" w:eastAsia="ru-RU" w:bidi="ru-RU"/>
        <w:b w:val="0"/>
        <w:bCs w:val="0"/>
        <w:i w:val="0"/>
        <w:iCs w:val="0"/>
        <w:u w:val="none"/>
        <w:strike w:val="0"/>
        <w:smallCaps w:val="0"/>
        <w:sz w:val="28"/>
        <w:szCs w:val="28"/>
        <w:rFonts w:ascii="Times New Roman" w:eastAsia="Times New Roman" w:hAnsi="Times New Roman" w:cs="Times New Roman"/>
        <w:w w:val="100"/>
        <w:spacing w:val="0"/>
        <w:color w:val="000000"/>
        <w:position w:val="0"/>
      </w:rPr>
    </w:lvl>
  </w:abstractNum>
  <w:num w:numId="1">
    <w:abstractNumId w:val="0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ru-RU" w:eastAsia="ru-RU" w:bidi="ru-RU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0080"/>
    </w:rPr>
  </w:style>
  <w:style w:type="character" w:customStyle="1" w:styleId="CharStyle4">
    <w:name w:val="Основной текст (3)_"/>
    <w:basedOn w:val="DefaultParagraphFont"/>
    <w:link w:val="Style3"/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6">
    <w:name w:val="Основной текст (2)_"/>
    <w:basedOn w:val="DefaultParagraphFont"/>
    <w:link w:val="Style5"/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character" w:customStyle="1" w:styleId="CharStyle7">
    <w:name w:val="Основной текст (2) + Полужирный"/>
    <w:basedOn w:val="CharStyle6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8">
    <w:name w:val="Основной текст (3) + Не полужирный"/>
    <w:basedOn w:val="CharStyle4"/>
    <w:rPr>
      <w:lang w:val="ru-RU" w:eastAsia="ru-RU" w:bidi="ru-RU"/>
      <w:b/>
      <w:bCs/>
      <w:w w:val="100"/>
      <w:spacing w:val="0"/>
      <w:color w:val="000000"/>
      <w:position w:val="0"/>
    </w:rPr>
  </w:style>
  <w:style w:type="character" w:customStyle="1" w:styleId="CharStyle10">
    <w:name w:val="Колонтитул_"/>
    <w:basedOn w:val="DefaultParagraphFont"/>
    <w:link w:val="Style9"/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  <w:style w:type="paragraph" w:customStyle="1" w:styleId="Style3">
    <w:name w:val="Основной текст (3)"/>
    <w:basedOn w:val="Normal"/>
    <w:link w:val="CharStyle4"/>
    <w:pPr>
      <w:widowControl w:val="0"/>
      <w:shd w:val="clear" w:color="auto" w:fill="FFFFFF"/>
      <w:jc w:val="center"/>
      <w:spacing w:line="355" w:lineRule="exact"/>
    </w:pPr>
    <w:rPr>
      <w:b/>
      <w:bCs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5">
    <w:name w:val="Основной текст (2)"/>
    <w:basedOn w:val="Normal"/>
    <w:link w:val="CharStyle6"/>
    <w:pPr>
      <w:widowControl w:val="0"/>
      <w:shd w:val="clear" w:color="auto" w:fill="FFFFFF"/>
      <w:jc w:val="both"/>
      <w:spacing w:line="355" w:lineRule="exact"/>
    </w:pPr>
    <w:rPr>
      <w:b w:val="0"/>
      <w:bCs w:val="0"/>
      <w:i w:val="0"/>
      <w:iCs w:val="0"/>
      <w:u w:val="none"/>
      <w:strike w:val="0"/>
      <w:smallCaps w:val="0"/>
      <w:sz w:val="28"/>
      <w:szCs w:val="28"/>
      <w:rFonts w:ascii="Times New Roman" w:eastAsia="Times New Roman" w:hAnsi="Times New Roman" w:cs="Times New Roman"/>
    </w:rPr>
  </w:style>
  <w:style w:type="paragraph" w:customStyle="1" w:styleId="Style9">
    <w:name w:val="Колонтитул"/>
    <w:basedOn w:val="Normal"/>
    <w:link w:val="CharStyle10"/>
    <w:pPr>
      <w:widowControl w:val="0"/>
      <w:shd w:val="clear" w:color="auto" w:fill="FFFFFF"/>
      <w:jc w:val="center"/>
      <w:spacing w:line="322" w:lineRule="exact"/>
    </w:pPr>
    <w:rPr>
      <w:b w:val="0"/>
      <w:bCs w:val="0"/>
      <w:i w:val="0"/>
      <w:iCs w:val="0"/>
      <w:u w:val="none"/>
      <w:strike w:val="0"/>
      <w:smallCaps w:val="0"/>
      <w:sz w:val="22"/>
      <w:szCs w:val="22"/>
      <w:rFonts w:ascii="Times New Roman" w:eastAsia="Times New Roman" w:hAnsi="Times New Roman" w:cs="Times New Roman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